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A8BA" w14:textId="77777777" w:rsidR="00B57CDD" w:rsidRPr="00CE5174" w:rsidRDefault="00B57CDD" w:rsidP="00B57CDD">
      <w:pPr>
        <w:jc w:val="center"/>
        <w:rPr>
          <w:rFonts w:ascii="Times New Roman" w:hAnsi="Times New Roman" w:cs="Times New Roman"/>
          <w:b/>
          <w:bCs/>
          <w:sz w:val="36"/>
          <w:szCs w:val="36"/>
        </w:rPr>
      </w:pPr>
      <w:r w:rsidRPr="00CE5174">
        <w:rPr>
          <w:rFonts w:ascii="Times New Roman" w:hAnsi="Times New Roman" w:cs="Times New Roman"/>
          <w:b/>
          <w:bCs/>
          <w:sz w:val="36"/>
          <w:szCs w:val="36"/>
        </w:rPr>
        <w:t>Antimicrobial Resistance Surveillance Systems: Monitoring, Challenges, and Public Health Action</w:t>
      </w:r>
    </w:p>
    <w:p w14:paraId="4A7F62B9" w14:textId="0FF242A5" w:rsidR="00447940" w:rsidRPr="00CE5174" w:rsidRDefault="00447940" w:rsidP="00B57CDD">
      <w:pPr>
        <w:jc w:val="center"/>
        <w:rPr>
          <w:rFonts w:ascii="Times New Roman" w:hAnsi="Times New Roman" w:cs="Times New Roman"/>
          <w:b/>
          <w:bCs/>
          <w:szCs w:val="24"/>
        </w:rPr>
      </w:pPr>
      <w:r w:rsidRPr="00CE5174">
        <w:rPr>
          <w:rFonts w:ascii="Times New Roman" w:hAnsi="Times New Roman" w:cs="Times New Roman"/>
          <w:b/>
          <w:bCs/>
          <w:szCs w:val="24"/>
        </w:rPr>
        <w:t xml:space="preserve">Ayushi Mishra¹, Nidhi Verma¹, Dr. Dhirendra Kumar Singh </w:t>
      </w:r>
    </w:p>
    <w:p w14:paraId="228E1A8B" w14:textId="7457B0AC" w:rsidR="00C72E72" w:rsidRPr="00CE5174" w:rsidRDefault="00C72E72" w:rsidP="00C72E72">
      <w:pPr>
        <w:jc w:val="both"/>
        <w:rPr>
          <w:rFonts w:ascii="Times New Roman" w:hAnsi="Times New Roman" w:cs="Times New Roman"/>
          <w:b/>
          <w:bCs/>
          <w:szCs w:val="24"/>
        </w:rPr>
      </w:pPr>
      <w:r w:rsidRPr="00CE5174">
        <w:rPr>
          <w:rFonts w:ascii="Times New Roman" w:hAnsi="Times New Roman" w:cs="Times New Roman"/>
          <w:b/>
          <w:bCs/>
          <w:szCs w:val="24"/>
        </w:rPr>
        <w:t>Affiliation:</w:t>
      </w:r>
    </w:p>
    <w:p w14:paraId="1C5F52A9" w14:textId="7B89D3F8" w:rsidR="00C72E72" w:rsidRPr="00CE5174" w:rsidRDefault="00C72E72" w:rsidP="00C72E72">
      <w:pPr>
        <w:jc w:val="both"/>
        <w:rPr>
          <w:rFonts w:ascii="Times New Roman" w:hAnsi="Times New Roman" w:cs="Times New Roman"/>
          <w:b/>
          <w:bCs/>
          <w:szCs w:val="24"/>
        </w:rPr>
      </w:pPr>
      <w:r w:rsidRPr="00CE5174">
        <w:rPr>
          <w:rFonts w:ascii="Times New Roman" w:hAnsi="Times New Roman" w:cs="Times New Roman"/>
          <w:b/>
          <w:bCs/>
          <w:szCs w:val="24"/>
        </w:rPr>
        <w:t>Department of Microbiology, Department of Biochemistry, Faculty of Health and Life Sciences, Mahayogi Gorakhnath University Gorakhpur, Arogya Dham, Balapar Road, Sonbarsa, Uttar Pradesh, India, 273007</w:t>
      </w:r>
    </w:p>
    <w:p w14:paraId="76173089" w14:textId="058CD127" w:rsidR="002905AB" w:rsidRPr="00CE5174" w:rsidRDefault="002905AB" w:rsidP="00C72E72">
      <w:pPr>
        <w:jc w:val="both"/>
        <w:rPr>
          <w:rFonts w:ascii="Times New Roman" w:hAnsi="Times New Roman" w:cs="Times New Roman"/>
          <w:szCs w:val="24"/>
        </w:rPr>
      </w:pPr>
      <w:r w:rsidRPr="00CE5174">
        <w:rPr>
          <w:rFonts w:ascii="Times New Roman" w:hAnsi="Times New Roman" w:cs="Times New Roman"/>
          <w:b/>
          <w:bCs/>
          <w:szCs w:val="24"/>
        </w:rPr>
        <w:t>Abstract:</w:t>
      </w:r>
      <w:r w:rsidR="00BE1673" w:rsidRPr="00CE5174">
        <w:rPr>
          <w:rFonts w:ascii="Times New Roman" w:hAnsi="Times New Roman" w:cs="Times New Roman"/>
          <w:szCs w:val="24"/>
        </w:rPr>
        <w:t xml:space="preserve"> </w:t>
      </w:r>
      <w:r w:rsidR="00CE5174" w:rsidRPr="00CE5174">
        <w:rPr>
          <w:rFonts w:ascii="Times New Roman" w:eastAsia="Times New Roman" w:hAnsi="Times New Roman" w:cs="Times New Roman"/>
          <w:sz w:val="26"/>
          <w:szCs w:val="26"/>
        </w:rPr>
        <w:t xml:space="preserve">In order to comprehend, track, and manage the spread of resistant microorganisms, antimicrobial resistance (AMR) surveillance systems are essential. Data on resistant bacteria, including </w:t>
      </w:r>
      <w:r w:rsidR="00CE5174" w:rsidRPr="00CE5174">
        <w:rPr>
          <w:rFonts w:ascii="Times New Roman" w:eastAsia="Times New Roman" w:hAnsi="Times New Roman" w:cs="Times New Roman"/>
          <w:i/>
          <w:iCs/>
          <w:sz w:val="26"/>
          <w:szCs w:val="26"/>
        </w:rPr>
        <w:t>Escherichia</w:t>
      </w:r>
      <w:r w:rsidR="00CE5174" w:rsidRPr="00CE5174">
        <w:rPr>
          <w:rFonts w:ascii="Times New Roman" w:eastAsia="Times New Roman" w:hAnsi="Times New Roman" w:cs="Times New Roman"/>
          <w:sz w:val="26"/>
          <w:szCs w:val="26"/>
        </w:rPr>
        <w:t xml:space="preserve"> </w:t>
      </w:r>
      <w:r w:rsidR="00CE5174" w:rsidRPr="00CE5174">
        <w:rPr>
          <w:rFonts w:ascii="Times New Roman" w:eastAsia="Times New Roman" w:hAnsi="Times New Roman" w:cs="Times New Roman"/>
          <w:i/>
          <w:iCs/>
          <w:sz w:val="26"/>
          <w:szCs w:val="26"/>
        </w:rPr>
        <w:t>coli</w:t>
      </w:r>
      <w:r w:rsidR="00CE5174" w:rsidRPr="00CE5174">
        <w:rPr>
          <w:rFonts w:ascii="Times New Roman" w:eastAsia="Times New Roman" w:hAnsi="Times New Roman" w:cs="Times New Roman"/>
          <w:sz w:val="26"/>
          <w:szCs w:val="26"/>
        </w:rPr>
        <w:t xml:space="preserve">, </w:t>
      </w:r>
      <w:r w:rsidR="00CE5174" w:rsidRPr="00BC5E1D">
        <w:rPr>
          <w:rFonts w:ascii="Times New Roman" w:eastAsia="Times New Roman" w:hAnsi="Times New Roman" w:cs="Times New Roman"/>
          <w:i/>
          <w:iCs/>
          <w:sz w:val="26"/>
          <w:szCs w:val="26"/>
        </w:rPr>
        <w:t>Klebsiella</w:t>
      </w:r>
      <w:r w:rsidR="00CE5174" w:rsidRPr="00CE5174">
        <w:rPr>
          <w:rFonts w:ascii="Times New Roman" w:eastAsia="Times New Roman" w:hAnsi="Times New Roman" w:cs="Times New Roman"/>
          <w:sz w:val="26"/>
          <w:szCs w:val="26"/>
        </w:rPr>
        <w:t xml:space="preserve"> </w:t>
      </w:r>
      <w:r w:rsidR="00CE5174" w:rsidRPr="00BC5E1D">
        <w:rPr>
          <w:rFonts w:ascii="Times New Roman" w:eastAsia="Times New Roman" w:hAnsi="Times New Roman" w:cs="Times New Roman"/>
          <w:i/>
          <w:iCs/>
          <w:sz w:val="26"/>
          <w:szCs w:val="26"/>
        </w:rPr>
        <w:t>pneumoniae</w:t>
      </w:r>
      <w:r w:rsidR="00CE5174" w:rsidRPr="00CE5174">
        <w:rPr>
          <w:rFonts w:ascii="Times New Roman" w:eastAsia="Times New Roman" w:hAnsi="Times New Roman" w:cs="Times New Roman"/>
          <w:sz w:val="26"/>
          <w:szCs w:val="26"/>
        </w:rPr>
        <w:t xml:space="preserve">, </w:t>
      </w:r>
      <w:r w:rsidR="00CE5174" w:rsidRPr="00BC5E1D">
        <w:rPr>
          <w:rFonts w:ascii="Times New Roman" w:eastAsia="Times New Roman" w:hAnsi="Times New Roman" w:cs="Times New Roman"/>
          <w:i/>
          <w:iCs/>
          <w:sz w:val="26"/>
          <w:szCs w:val="26"/>
        </w:rPr>
        <w:t>Staphylococcus</w:t>
      </w:r>
      <w:r w:rsidR="00CE5174" w:rsidRPr="00CE5174">
        <w:rPr>
          <w:rFonts w:ascii="Times New Roman" w:eastAsia="Times New Roman" w:hAnsi="Times New Roman" w:cs="Times New Roman"/>
          <w:sz w:val="26"/>
          <w:szCs w:val="26"/>
        </w:rPr>
        <w:t xml:space="preserve"> </w:t>
      </w:r>
      <w:r w:rsidR="00CE5174" w:rsidRPr="00BC5E1D">
        <w:rPr>
          <w:rFonts w:ascii="Times New Roman" w:eastAsia="Times New Roman" w:hAnsi="Times New Roman" w:cs="Times New Roman"/>
          <w:i/>
          <w:iCs/>
          <w:sz w:val="26"/>
          <w:szCs w:val="26"/>
        </w:rPr>
        <w:t>aureus</w:t>
      </w:r>
      <w:r w:rsidR="00CE5174" w:rsidRPr="00CE5174">
        <w:rPr>
          <w:rFonts w:ascii="Times New Roman" w:eastAsia="Times New Roman" w:hAnsi="Times New Roman" w:cs="Times New Roman"/>
          <w:sz w:val="26"/>
          <w:szCs w:val="26"/>
        </w:rPr>
        <w:t xml:space="preserve">, and </w:t>
      </w:r>
      <w:r w:rsidR="00CE5174" w:rsidRPr="00BC5E1D">
        <w:rPr>
          <w:rFonts w:ascii="Times New Roman" w:eastAsia="Times New Roman" w:hAnsi="Times New Roman" w:cs="Times New Roman"/>
          <w:i/>
          <w:iCs/>
          <w:sz w:val="26"/>
          <w:szCs w:val="26"/>
        </w:rPr>
        <w:t>Mycobacterium</w:t>
      </w:r>
      <w:r w:rsidR="00CE5174" w:rsidRPr="00CE5174">
        <w:rPr>
          <w:rFonts w:ascii="Times New Roman" w:eastAsia="Times New Roman" w:hAnsi="Times New Roman" w:cs="Times New Roman"/>
          <w:sz w:val="26"/>
          <w:szCs w:val="26"/>
        </w:rPr>
        <w:t xml:space="preserve"> </w:t>
      </w:r>
      <w:r w:rsidR="00CE5174" w:rsidRPr="00BC5E1D">
        <w:rPr>
          <w:rFonts w:ascii="Times New Roman" w:eastAsia="Times New Roman" w:hAnsi="Times New Roman" w:cs="Times New Roman"/>
          <w:i/>
          <w:iCs/>
          <w:sz w:val="26"/>
          <w:szCs w:val="26"/>
        </w:rPr>
        <w:t>tuberculosis</w:t>
      </w:r>
      <w:r w:rsidR="00CE5174" w:rsidRPr="00CE5174">
        <w:rPr>
          <w:rFonts w:ascii="Times New Roman" w:eastAsia="Times New Roman" w:hAnsi="Times New Roman" w:cs="Times New Roman"/>
          <w:sz w:val="26"/>
          <w:szCs w:val="26"/>
        </w:rPr>
        <w:t>, are systematically gathered, , and interpreted as part of AMR surveillance. These systems support a One Health approach to public health by tracking patterns of resistance in communities, hospitals, animals, and the environment.</w:t>
      </w:r>
      <w:r w:rsidR="00CE5174" w:rsidRPr="00CE5174">
        <w:rPr>
          <w:rFonts w:ascii="Times New Roman" w:eastAsia="Times New Roman" w:hAnsi="Times New Roman" w:cs="Times New Roman"/>
        </w:rPr>
        <w:t xml:space="preserve"> </w:t>
      </w:r>
      <w:r w:rsidR="00CE5174" w:rsidRPr="00CE5174">
        <w:rPr>
          <w:rFonts w:ascii="Times New Roman" w:eastAsia="Times New Roman" w:hAnsi="Times New Roman" w:cs="Times New Roman"/>
        </w:rPr>
        <w:br/>
      </w:r>
      <w:r w:rsidR="00CE5174" w:rsidRPr="00CE5174">
        <w:rPr>
          <w:rFonts w:ascii="Times New Roman" w:eastAsia="Times New Roman" w:hAnsi="Times New Roman" w:cs="Times New Roman"/>
        </w:rPr>
        <w:br/>
      </w:r>
      <w:r w:rsidR="00CE5174" w:rsidRPr="00CE5174">
        <w:rPr>
          <w:rFonts w:ascii="Times New Roman" w:eastAsia="Times New Roman" w:hAnsi="Times New Roman" w:cs="Times New Roman"/>
          <w:sz w:val="26"/>
          <w:szCs w:val="26"/>
        </w:rPr>
        <w:t>Effective surveillance identifies outbreaks, gives early warning of new resistance trends, and directs the proper use of antibiotics and treatment protocols. Antimicrobial susceptibility testing in clinical laboratories produces data that is subsequently aggregated at the regional, national, and international levels. In order to better understand how resistance spreads across sectors, integrated surveillance systems connect environmental monitoring, food production, veterinary health, and human health.</w:t>
      </w:r>
      <w:r w:rsidR="00CE5174" w:rsidRPr="00CE5174">
        <w:rPr>
          <w:rFonts w:ascii="Times New Roman" w:eastAsia="Times New Roman" w:hAnsi="Times New Roman" w:cs="Times New Roman"/>
        </w:rPr>
        <w:t xml:space="preserve"> </w:t>
      </w:r>
      <w:r w:rsidR="00CE5174" w:rsidRPr="00CE5174">
        <w:rPr>
          <w:rFonts w:ascii="Times New Roman" w:eastAsia="Times New Roman" w:hAnsi="Times New Roman" w:cs="Times New Roman"/>
        </w:rPr>
        <w:br/>
      </w:r>
      <w:r w:rsidR="00CE5174" w:rsidRPr="00CE5174">
        <w:rPr>
          <w:rFonts w:ascii="Times New Roman" w:eastAsia="Times New Roman" w:hAnsi="Times New Roman" w:cs="Times New Roman"/>
        </w:rPr>
        <w:br/>
      </w:r>
      <w:r w:rsidR="00CE5174" w:rsidRPr="00CE5174">
        <w:rPr>
          <w:rFonts w:ascii="Times New Roman" w:eastAsia="Times New Roman" w:hAnsi="Times New Roman" w:cs="Times New Roman"/>
          <w:sz w:val="26"/>
          <w:szCs w:val="26"/>
        </w:rPr>
        <w:t>Now understanding its significance, AMR surveillance is beset by issues like inadequate funding, a lack of standardized reporting systems, a shortage of laboratory capacity, and gaps in data exchange between nations and institutions. To increase the efficacy of surveillance, it is imperative to fortify laboratory infrastructure, enhance data management systems, support standardized testing procedures, and foster international cooperation. A strong AMR surveillance system is essential for reducing the worldwide threat of antibiotic resistance, assisting in evidence-based decision-making, and providing information to antibiotic stewardship initiatives.</w:t>
      </w:r>
    </w:p>
    <w:sectPr w:rsidR="002905AB" w:rsidRPr="00CE51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DD"/>
    <w:rsid w:val="002905AB"/>
    <w:rsid w:val="00447940"/>
    <w:rsid w:val="007212B7"/>
    <w:rsid w:val="00A00BCD"/>
    <w:rsid w:val="00B57CDD"/>
    <w:rsid w:val="00BC5E1D"/>
    <w:rsid w:val="00BE1673"/>
    <w:rsid w:val="00C72E72"/>
    <w:rsid w:val="00CE51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69206310"/>
  <w15:chartTrackingRefBased/>
  <w15:docId w15:val="{D24A5883-CEDA-1D45-B008-B16557E2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CD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57CD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57CD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57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CD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57CD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57CD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57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CDD"/>
    <w:rPr>
      <w:rFonts w:eastAsiaTheme="majorEastAsia" w:cstheme="majorBidi"/>
      <w:color w:val="272727" w:themeColor="text1" w:themeTint="D8"/>
    </w:rPr>
  </w:style>
  <w:style w:type="paragraph" w:styleId="Title">
    <w:name w:val="Title"/>
    <w:basedOn w:val="Normal"/>
    <w:next w:val="Normal"/>
    <w:link w:val="TitleChar"/>
    <w:uiPriority w:val="10"/>
    <w:qFormat/>
    <w:rsid w:val="00B57CD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57CD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57CD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57CD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57CDD"/>
    <w:pPr>
      <w:spacing w:before="160"/>
      <w:jc w:val="center"/>
    </w:pPr>
    <w:rPr>
      <w:i/>
      <w:iCs/>
      <w:color w:val="404040" w:themeColor="text1" w:themeTint="BF"/>
    </w:rPr>
  </w:style>
  <w:style w:type="character" w:customStyle="1" w:styleId="QuoteChar">
    <w:name w:val="Quote Char"/>
    <w:basedOn w:val="DefaultParagraphFont"/>
    <w:link w:val="Quote"/>
    <w:uiPriority w:val="29"/>
    <w:rsid w:val="00B57CDD"/>
    <w:rPr>
      <w:i/>
      <w:iCs/>
      <w:color w:val="404040" w:themeColor="text1" w:themeTint="BF"/>
    </w:rPr>
  </w:style>
  <w:style w:type="paragraph" w:styleId="ListParagraph">
    <w:name w:val="List Paragraph"/>
    <w:basedOn w:val="Normal"/>
    <w:uiPriority w:val="34"/>
    <w:qFormat/>
    <w:rsid w:val="00B57CDD"/>
    <w:pPr>
      <w:ind w:left="720"/>
      <w:contextualSpacing/>
    </w:pPr>
  </w:style>
  <w:style w:type="character" w:styleId="IntenseEmphasis">
    <w:name w:val="Intense Emphasis"/>
    <w:basedOn w:val="DefaultParagraphFont"/>
    <w:uiPriority w:val="21"/>
    <w:qFormat/>
    <w:rsid w:val="00B57CDD"/>
    <w:rPr>
      <w:i/>
      <w:iCs/>
      <w:color w:val="0F4761" w:themeColor="accent1" w:themeShade="BF"/>
    </w:rPr>
  </w:style>
  <w:style w:type="paragraph" w:styleId="IntenseQuote">
    <w:name w:val="Intense Quote"/>
    <w:basedOn w:val="Normal"/>
    <w:next w:val="Normal"/>
    <w:link w:val="IntenseQuoteChar"/>
    <w:uiPriority w:val="30"/>
    <w:qFormat/>
    <w:rsid w:val="00B57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CDD"/>
    <w:rPr>
      <w:i/>
      <w:iCs/>
      <w:color w:val="0F4761" w:themeColor="accent1" w:themeShade="BF"/>
    </w:rPr>
  </w:style>
  <w:style w:type="character" w:styleId="IntenseReference">
    <w:name w:val="Intense Reference"/>
    <w:basedOn w:val="DefaultParagraphFont"/>
    <w:uiPriority w:val="32"/>
    <w:qFormat/>
    <w:rsid w:val="00B57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918429921824</dc:creator>
  <cp:keywords/>
  <dc:description/>
  <cp:lastModifiedBy>918429921824</cp:lastModifiedBy>
  <cp:revision>2</cp:revision>
  <dcterms:created xsi:type="dcterms:W3CDTF">2026-02-24T02:31:00Z</dcterms:created>
  <dcterms:modified xsi:type="dcterms:W3CDTF">2026-02-24T02:31:00Z</dcterms:modified>
</cp:coreProperties>
</file>